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5A7" w:rsidRDefault="00B87F1F">
      <w:pPr>
        <w:pStyle w:val="ConsPlusNormal"/>
        <w:jc w:val="right"/>
        <w:outlineLvl w:val="0"/>
      </w:pPr>
      <w:bookmarkStart w:id="0" w:name="_GoBack"/>
      <w:bookmarkEnd w:id="0"/>
      <w:r>
        <w:t>Приложение</w:t>
      </w:r>
    </w:p>
    <w:p w:rsidR="000645A7" w:rsidRDefault="00B87F1F">
      <w:pPr>
        <w:pStyle w:val="ConsPlusNormal"/>
        <w:jc w:val="right"/>
      </w:pPr>
      <w:r>
        <w:t>к государственной программе</w:t>
      </w:r>
    </w:p>
    <w:p w:rsidR="000645A7" w:rsidRDefault="000645A7">
      <w:pPr>
        <w:pStyle w:val="ConsPlusNormal"/>
        <w:jc w:val="both"/>
      </w:pPr>
    </w:p>
    <w:p w:rsidR="000645A7" w:rsidRDefault="00B87F1F">
      <w:pPr>
        <w:pStyle w:val="ConsPlusTitle"/>
        <w:jc w:val="center"/>
      </w:pPr>
      <w:r>
        <w:t>ПРАВИЛА</w:t>
      </w:r>
    </w:p>
    <w:p w:rsidR="000645A7" w:rsidRDefault="00B87F1F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0645A7" w:rsidRDefault="00B87F1F">
      <w:pPr>
        <w:pStyle w:val="ConsPlusTitle"/>
        <w:jc w:val="center"/>
      </w:pPr>
      <w:r>
        <w:t>БЮДЖЕТА МЕСТНЫМ БЮДЖЕТАМ НА ТЕХНИЧЕСКОЕ СОПРОВОЖДЕНИЕ</w:t>
      </w:r>
    </w:p>
    <w:p w:rsidR="000645A7" w:rsidRDefault="00B87F1F">
      <w:pPr>
        <w:pStyle w:val="ConsPlusTitle"/>
        <w:jc w:val="center"/>
      </w:pPr>
      <w:r>
        <w:t>ПРОГРАММНОГО ОБЕСПЕЧЕНИЯ "СИСТЕМА АВТОМАТИЗИРОВАННОГО</w:t>
      </w:r>
    </w:p>
    <w:p w:rsidR="000645A7" w:rsidRDefault="00B87F1F">
      <w:pPr>
        <w:pStyle w:val="ConsPlusTitle"/>
        <w:jc w:val="center"/>
      </w:pPr>
      <w:r>
        <w:t>РАБОЧЕГО МЕСТА МУНИЦИПАЛЬНОГО ОБРАЗОВАНИЯ"</w:t>
      </w:r>
    </w:p>
    <w:p w:rsidR="000645A7" w:rsidRDefault="000645A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645A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5A7" w:rsidRDefault="000645A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5A7" w:rsidRDefault="000645A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645A7" w:rsidRDefault="00B87F1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45A7" w:rsidRDefault="00B87F1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Мурманской области</w:t>
            </w:r>
            <w:proofErr w:type="gramEnd"/>
          </w:p>
          <w:p w:rsidR="000645A7" w:rsidRDefault="00B87F1F">
            <w:pPr>
              <w:pStyle w:val="ConsPlusNormal"/>
              <w:jc w:val="center"/>
            </w:pPr>
            <w:r>
              <w:rPr>
                <w:color w:val="392C69"/>
              </w:rPr>
              <w:t>от 01.04.2025 N 230-ПП)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5A7" w:rsidRDefault="000645A7">
            <w:pPr>
              <w:pStyle w:val="ConsPlusNormal"/>
            </w:pPr>
          </w:p>
        </w:tc>
      </w:tr>
    </w:tbl>
    <w:p w:rsidR="000645A7" w:rsidRDefault="000645A7">
      <w:pPr>
        <w:pStyle w:val="ConsPlusNormal"/>
        <w:jc w:val="both"/>
      </w:pPr>
    </w:p>
    <w:p w:rsidR="000645A7" w:rsidRDefault="00B87F1F">
      <w:pPr>
        <w:pStyle w:val="ConsPlusNormal"/>
        <w:ind w:firstLine="540"/>
        <w:jc w:val="both"/>
      </w:pPr>
      <w:r>
        <w:t>1. Настоящие Правила определяют порядок, цели и условия предоставления и распределения субсидий из областного бюджета местным бюджетам на техническое сопровождение программного обеспечения "Система автоматизированного рабочего места муниципального образова</w:t>
      </w:r>
      <w:r>
        <w:t>ния" (далее - техническое сопровождение АРМ "Муниципал", субсидия).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2. Субсидии предоставляются Министерством юстиции Мурманской области (далее - Министерство) в соответствии со сводной бюджетной росписью, кассовым планом областного бюджета, в пределах лим</w:t>
      </w:r>
      <w:r>
        <w:t>итов бюджетных обязательств, предусмотренных на указанные цели Министерству, на основании соглашений о предоставлении субсидий.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Критерием отбора муниципальных образований для предоставления субсидий является наличие в муниципальном образовании программного</w:t>
      </w:r>
      <w:r>
        <w:t xml:space="preserve"> обеспечения "Система автоматизированного рабочего места муниципального образования".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 xml:space="preserve">3. Субсидии предоставляются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 органов местного самоуправления муниципальных образований по техническому сопровождению АРМ "М</w:t>
      </w:r>
      <w:r>
        <w:t>униципал".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 xml:space="preserve">Уровень </w:t>
      </w:r>
      <w:proofErr w:type="spellStart"/>
      <w:r>
        <w:t>софинансирования</w:t>
      </w:r>
      <w:proofErr w:type="spellEnd"/>
      <w:r>
        <w:t xml:space="preserve"> расходного обязательства, источником финансового обеспечения которого является субсидия, устанавливается для муниципального образования исходя из предельного уровня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</w:t>
      </w:r>
      <w:r>
        <w:t>о образования из областного бюджета по муниципальным образованиям на очередной финансовый год и плановый период, утверждаемого Правительством Мурманской области.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4. Условиями предоставления субсидии муниципальному образованию являются: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4.1. Наличие правово</w:t>
      </w:r>
      <w:r>
        <w:t xml:space="preserve">го акта муниципального образования, утверждающего перечень мероприятий, в целях </w:t>
      </w:r>
      <w:proofErr w:type="spellStart"/>
      <w:r>
        <w:t>софинансирования</w:t>
      </w:r>
      <w:proofErr w:type="spellEnd"/>
      <w:r>
        <w:t xml:space="preserve"> которых предоставляется субсидия.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 xml:space="preserve">4.2. Заключение между Министерством и органом местного самоуправления муниципального образования соглашения о предоставлении </w:t>
      </w:r>
      <w:r>
        <w:t>субсидии, подготавливаемого (формируемого) и заключаемого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-Бюджет", в соответствии с типовой формой, утвержденной Министерством финансов Мурманской области. Соглашение о предоставлении суб</w:t>
      </w:r>
      <w:r>
        <w:t>сидии должно содержать положения, предусмотренные пунктом 7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</w:t>
      </w:r>
      <w:r>
        <w:t xml:space="preserve"> 445-ПП (далее - Правила N 445-ПП).</w:t>
      </w:r>
    </w:p>
    <w:p w:rsidR="000645A7" w:rsidRDefault="00B87F1F">
      <w:pPr>
        <w:pStyle w:val="ConsPlusNormal"/>
        <w:spacing w:before="240"/>
        <w:ind w:firstLine="540"/>
        <w:jc w:val="both"/>
      </w:pPr>
      <w:bookmarkStart w:id="1" w:name="P20"/>
      <w:bookmarkEnd w:id="1"/>
      <w:r>
        <w:lastRenderedPageBreak/>
        <w:t>5. Целевыми показателями результативности использования субсидии являются: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- применение муниципальным образованием программного обеспечения АРМ "Муниципал";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- 100-процентное выполнение муниципальным образованием мероприятий по техническому сопровождению АРМ "Муниципал".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 xml:space="preserve">Министерство осуществляет оценку результативности использования субсидии путем сравнения </w:t>
      </w:r>
      <w:proofErr w:type="gramStart"/>
      <w:r>
        <w:t>значений целевых показателей результативности использ</w:t>
      </w:r>
      <w:r>
        <w:t>ования субсидии</w:t>
      </w:r>
      <w:proofErr w:type="gramEnd"/>
      <w:r>
        <w:t xml:space="preserve"> с результатами, фактически полученными муниципальным образованием.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 xml:space="preserve">6. Объем субсидии, выделяемой муниципальному образованию на </w:t>
      </w:r>
      <w:proofErr w:type="spellStart"/>
      <w:r>
        <w:t>софинансирование</w:t>
      </w:r>
      <w:proofErr w:type="spellEnd"/>
      <w:r>
        <w:t xml:space="preserve"> затрат по техническому сопровождению АРМ "Муниципал", определяется по формуле:</w:t>
      </w:r>
    </w:p>
    <w:p w:rsidR="000645A7" w:rsidRDefault="000645A7">
      <w:pPr>
        <w:pStyle w:val="ConsPlusNormal"/>
        <w:jc w:val="both"/>
      </w:pPr>
    </w:p>
    <w:p w:rsidR="000645A7" w:rsidRDefault="00B87F1F">
      <w:pPr>
        <w:pStyle w:val="ConsPlusNormal"/>
        <w:ind w:firstLine="540"/>
        <w:jc w:val="both"/>
      </w:pPr>
      <w:proofErr w:type="spellStart"/>
      <w:r>
        <w:t>Vi</w:t>
      </w:r>
      <w:proofErr w:type="spellEnd"/>
      <w:r>
        <w:t xml:space="preserve"> = ZTC</w:t>
      </w:r>
      <w:proofErr w:type="gramStart"/>
      <w:r>
        <w:t xml:space="preserve"> / К</w:t>
      </w:r>
      <w:proofErr w:type="gramEnd"/>
      <w:r>
        <w:t xml:space="preserve"> x </w:t>
      </w:r>
      <w:proofErr w:type="spellStart"/>
      <w:r>
        <w:t>У</w:t>
      </w:r>
      <w:r>
        <w:t>i</w:t>
      </w:r>
      <w:proofErr w:type="spellEnd"/>
      <w:r>
        <w:t xml:space="preserve"> / 100, где:</w:t>
      </w:r>
    </w:p>
    <w:p w:rsidR="000645A7" w:rsidRDefault="000645A7">
      <w:pPr>
        <w:pStyle w:val="ConsPlusNormal"/>
        <w:jc w:val="both"/>
      </w:pPr>
    </w:p>
    <w:p w:rsidR="000645A7" w:rsidRDefault="00B87F1F">
      <w:pPr>
        <w:pStyle w:val="ConsPlusNormal"/>
        <w:ind w:firstLine="540"/>
        <w:jc w:val="both"/>
      </w:pPr>
      <w:proofErr w:type="spellStart"/>
      <w:r>
        <w:t>Vi</w:t>
      </w:r>
      <w:proofErr w:type="spellEnd"/>
      <w:r>
        <w:t xml:space="preserve"> - объем субсидии, выделяемой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ZTC - расчетный норматив затрат по техническому сопровождению АРМ "Муниципал", принятый равным 1470960,00 рублей в год;</w:t>
      </w:r>
    </w:p>
    <w:p w:rsidR="000645A7" w:rsidRDefault="00B87F1F">
      <w:pPr>
        <w:pStyle w:val="ConsPlusNormal"/>
        <w:jc w:val="both"/>
      </w:pPr>
      <w:r>
        <w:t>(в ред. Постановления Правительства Мурманской области о</w:t>
      </w:r>
      <w:r>
        <w:t>т 01.04.2025 N 230-ПП)</w:t>
      </w:r>
    </w:p>
    <w:p w:rsidR="000645A7" w:rsidRDefault="00B87F1F">
      <w:pPr>
        <w:pStyle w:val="ConsPlusNormal"/>
        <w:spacing w:before="240"/>
        <w:ind w:firstLine="540"/>
        <w:jc w:val="both"/>
      </w:pPr>
      <w:proofErr w:type="gramStart"/>
      <w:r>
        <w:t>К</w:t>
      </w:r>
      <w:proofErr w:type="gramEnd"/>
      <w:r>
        <w:t xml:space="preserve"> - количество муниципальных образований, входящих в состав Мурманской области;</w:t>
      </w:r>
    </w:p>
    <w:p w:rsidR="000645A7" w:rsidRDefault="00B87F1F">
      <w:pPr>
        <w:pStyle w:val="ConsPlusNormal"/>
        <w:spacing w:before="240"/>
        <w:ind w:firstLine="540"/>
        <w:jc w:val="both"/>
      </w:pPr>
      <w:proofErr w:type="spellStart"/>
      <w:r>
        <w:t>У</w:t>
      </w:r>
      <w:proofErr w:type="gramStart"/>
      <w:r>
        <w:t>i</w:t>
      </w:r>
      <w:proofErr w:type="spellEnd"/>
      <w:proofErr w:type="gramEnd"/>
      <w:r>
        <w:t xml:space="preserve"> - процент уровня </w:t>
      </w:r>
      <w:proofErr w:type="spellStart"/>
      <w:r>
        <w:t>софинансирования</w:t>
      </w:r>
      <w:proofErr w:type="spellEnd"/>
      <w:r>
        <w:t xml:space="preserve"> затрат за счет субсидии, установленный для муниципального образования исходя из предельного уровня </w:t>
      </w:r>
      <w:proofErr w:type="spellStart"/>
      <w:r>
        <w:t>софинансирования</w:t>
      </w:r>
      <w:proofErr w:type="spellEnd"/>
      <w:r>
        <w:t xml:space="preserve"> </w:t>
      </w:r>
      <w:r>
        <w:t>расходного обязательства муниципального образования из областного бюджета по муниципальным образованиям на очередной финансовый год и плановый период, утвержденного Правительством Мурманской области.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7. Нормативным правовым актом Правительства Мурманской о</w:t>
      </w:r>
      <w:r>
        <w:t xml:space="preserve">бласти могут быть внесены изменения в распределение объемов субсидий между муниципальными образованиями без внесения изменений в закон Мурманской области об областном бюджете по основаниям, предусмотренным подпунктом 9 пункта 4 статьи 36 Закона Мурманской </w:t>
      </w:r>
      <w:r>
        <w:t>области от 11.12.2007 N 919-01-ЗМО "О бюджетном процессе в Мурманской области".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Распределение субсидий местным бюджетам по данным основаниям осуществляется с учетом заключенных от имени муниципальных образований (муниципальных учреждений) муниципальных кон</w:t>
      </w:r>
      <w:r>
        <w:t>трактов (договоров) в рамках субсидии.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8. Получатели субсидий направляют в Министерство заявки о перечислении средств субсидий по форме, установленной Министерством, в срок до 1 апреля финансового года.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 xml:space="preserve">Перечисление субсидий осуществляется в установленном </w:t>
      </w:r>
      <w:r>
        <w:t>порядке на единые счета местных бюджетов, открытые финансовым органам муниципальных образований в территориальных органах Федерального казначейства.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 xml:space="preserve">Субсидии </w:t>
      </w:r>
      <w:proofErr w:type="gramStart"/>
      <w:r>
        <w:t>носят целевой характер и не могут</w:t>
      </w:r>
      <w:proofErr w:type="gramEnd"/>
      <w:r>
        <w:t xml:space="preserve"> быть использованы на другие цели.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 xml:space="preserve">Не использованный на 1 января </w:t>
      </w:r>
      <w:r>
        <w:t>текущего финансового года остаток субсидий подлежит перечислению в доход областного бюджета.</w:t>
      </w:r>
    </w:p>
    <w:p w:rsidR="000645A7" w:rsidRDefault="00B87F1F">
      <w:pPr>
        <w:pStyle w:val="ConsPlusNormal"/>
        <w:spacing w:before="240"/>
        <w:ind w:firstLine="540"/>
        <w:jc w:val="both"/>
      </w:pPr>
      <w:proofErr w:type="gramStart"/>
      <w:r>
        <w:lastRenderedPageBreak/>
        <w:t>В соответствии с решением Министерства о наличии потребности в межбюджетных трансфертах, полученных в форме субсидий, не использованных в отчетном финансовом году,</w:t>
      </w:r>
      <w:r>
        <w:t xml:space="preserve"> согласованным с Министерством финансов Мурманской области, средства в объеме, не превышающем остатка субсидии, могут быть возвращены в текущем финансовом году в доход бюджета, которому они были ранее предоставлены, для финансового обеспечения расходов бюд</w:t>
      </w:r>
      <w:r>
        <w:t>жета, соответствующих целям предоставления субсидии.</w:t>
      </w:r>
      <w:proofErr w:type="gramEnd"/>
    </w:p>
    <w:p w:rsidR="000645A7" w:rsidRDefault="00B87F1F">
      <w:pPr>
        <w:pStyle w:val="ConsPlusNormal"/>
        <w:spacing w:before="240"/>
        <w:ind w:firstLine="540"/>
        <w:jc w:val="both"/>
      </w:pPr>
      <w:r>
        <w:t>В случае если неиспользованный остаток субсидий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</w:t>
      </w:r>
      <w:r>
        <w:t>в Мурманской области.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Потребность в неиспользованных остатках межбюджетных трансфертов, перечисление которых осуществлялось в отчетном финансовом году в пределах суммы, необходимой для оплаты денежных обязательств по расходам получателей средств местного б</w:t>
      </w:r>
      <w:r>
        <w:t>юджета, источником финансового обеспечения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решением Министерства.</w:t>
      </w:r>
    </w:p>
    <w:p w:rsidR="000645A7" w:rsidRDefault="00B87F1F">
      <w:pPr>
        <w:pStyle w:val="ConsPlusNormal"/>
        <w:spacing w:before="240"/>
        <w:ind w:firstLine="540"/>
        <w:jc w:val="both"/>
      </w:pPr>
      <w:proofErr w:type="gramStart"/>
      <w:r>
        <w:t>Внесение в установленном порядке изменений в св</w:t>
      </w:r>
      <w:r>
        <w:t>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которых в отчетном финансовом году осуществлялось п</w:t>
      </w:r>
      <w:r>
        <w:t>од фактическую потребность, в объеме, не превышающем сумму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</w:t>
      </w:r>
      <w:r>
        <w:t>го Министерством в Министерство финансов Мурманской области.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9. Органы местного самоуправления муниципальных образований представляют в Министерство:</w:t>
      </w:r>
    </w:p>
    <w:p w:rsidR="000645A7" w:rsidRDefault="00B87F1F">
      <w:pPr>
        <w:pStyle w:val="ConsPlusNormal"/>
        <w:spacing w:before="240"/>
        <w:ind w:firstLine="540"/>
        <w:jc w:val="both"/>
      </w:pPr>
      <w:proofErr w:type="gramStart"/>
      <w:r>
        <w:t>- ежеквартально, не позднее 8-го числа месяца, следующего за отчетным периодом, отчет об осуществлении рас</w:t>
      </w:r>
      <w:r>
        <w:t>ходов, источником финансового обеспечения которых является субсидия из областного бюджета, по форме, утверждаемой Министерством по согласованию с Министерством финансов Мурманской области, заверенный руководителем и главным бухгалтером, с приложением копий</w:t>
      </w:r>
      <w:r>
        <w:t xml:space="preserve"> всех первичных документов, в том числе платежных поручений, подтверждающих понесенные расходы;</w:t>
      </w:r>
      <w:proofErr w:type="gramEnd"/>
    </w:p>
    <w:p w:rsidR="000645A7" w:rsidRDefault="00B87F1F">
      <w:pPr>
        <w:pStyle w:val="ConsPlusNormal"/>
        <w:spacing w:before="240"/>
        <w:ind w:firstLine="540"/>
        <w:jc w:val="both"/>
      </w:pPr>
      <w:r>
        <w:t xml:space="preserve">- не позднее 15-го числа месяца, следующего за отчетным годом, в котором была получена субсидия, отчет о достижении </w:t>
      </w:r>
      <w:proofErr w:type="gramStart"/>
      <w:r>
        <w:t>значений целевых показателей результативност</w:t>
      </w:r>
      <w:r>
        <w:t>и использования субсидии</w:t>
      </w:r>
      <w:proofErr w:type="gramEnd"/>
      <w:r>
        <w:t xml:space="preserve"> по форме, утверждаемой Министерством.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Представление отчетности осуществляется посредством программного комплекса "Реестр соглашений" электронной системы "</w:t>
      </w:r>
      <w:proofErr w:type="spellStart"/>
      <w:r>
        <w:t>Web</w:t>
      </w:r>
      <w:proofErr w:type="spellEnd"/>
      <w:r>
        <w:t>-Бюджет".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10. Министерство представляет в Министерство финансов Мурманской области ежеквартально, не позднее 20-го числа месяца, следующего за отчетным периодом, сводный отчет об осуществлении расходов, источником финансового обеспечения которых являются субсидии из</w:t>
      </w:r>
      <w:r>
        <w:t xml:space="preserve"> областного бюджета, в разрезе муниципальных образований по форме, утверждаемой Министерством по согласованию с Министерством финансов Мурманской области.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 xml:space="preserve">11. Министерство в течение двух недель со дня утверждения государственной программы </w:t>
      </w:r>
      <w:r>
        <w:lastRenderedPageBreak/>
        <w:t>Мурманской област</w:t>
      </w:r>
      <w:r>
        <w:t>и "Информационное общество" утверждает форму отчета об осуществлении расходов бюджета муниципального образования, источником финансового обеспечения которых является субсидия.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>12. Органы местного самоуправления муниципальных образований несут ответственнос</w:t>
      </w:r>
      <w:r>
        <w:t>ть за нецелевое использование субсидий, а также за несвоевременность и недостоверность предоставляемых сведений.</w:t>
      </w:r>
    </w:p>
    <w:p w:rsidR="000645A7" w:rsidRDefault="00B87F1F">
      <w:pPr>
        <w:pStyle w:val="ConsPlusNormal"/>
        <w:spacing w:before="240"/>
        <w:ind w:firstLine="540"/>
        <w:jc w:val="both"/>
      </w:pPr>
      <w:bookmarkStart w:id="2" w:name="P50"/>
      <w:bookmarkEnd w:id="2"/>
      <w:r>
        <w:t xml:space="preserve">13. В случае невыполнения муниципальным образованием обязательств по достижению целевых показателей результативности, установленных в </w:t>
      </w:r>
      <w:hyperlink w:anchor="P20" w:tooltip="5. Целевыми показателями результативности использования субсидии являются:">
        <w:r>
          <w:rPr>
            <w:color w:val="0000FF"/>
          </w:rPr>
          <w:t>пункте 5</w:t>
        </w:r>
      </w:hyperlink>
      <w:r>
        <w:t xml:space="preserve"> настоящих Правил, субсидия подлежит возврату в соответствии с пунктом 12 Правил N 445-ПП на лицевые счета Министерства в течение 10 рабочих дне</w:t>
      </w:r>
      <w:r>
        <w:t>й со дня получения требования Министерства.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 xml:space="preserve">Основанием для освобождения муниципального образования от применения мер ответственности, предусмотренных </w:t>
      </w:r>
      <w:hyperlink w:anchor="P50" w:tooltip="13. В случае невыполнения муниципальным образованием обязательств по достижению целевых показателей результативности, установленных в пункте 5 настоящих Правил, субсидия подлежит возврату в соответствии с пунктом 12 Правил N 445-ПП на лицевые счета Министерств">
        <w:r>
          <w:rPr>
            <w:color w:val="0000FF"/>
          </w:rPr>
          <w:t>абзацем первым</w:t>
        </w:r>
      </w:hyperlink>
      <w:r>
        <w:t xml:space="preserve"> настоящего пункта, является документально подтвержденно</w:t>
      </w:r>
      <w:r>
        <w:t>е наступление обстоятельств непреодолимой силы, препятствующих исполнению соответствующих обязательств, предусмотренных пунктом 14 Правил N 445-ПП.</w:t>
      </w:r>
    </w:p>
    <w:p w:rsidR="000645A7" w:rsidRDefault="00B87F1F">
      <w:pPr>
        <w:pStyle w:val="ConsPlusNormal"/>
        <w:spacing w:before="240"/>
        <w:ind w:firstLine="540"/>
        <w:jc w:val="both"/>
      </w:pPr>
      <w:proofErr w:type="gramStart"/>
      <w:r>
        <w:t>В случае отсутствия оснований для освобождения муниципального образования от применения мер ответственности,</w:t>
      </w:r>
      <w:r>
        <w:t xml:space="preserve"> предусмотренных </w:t>
      </w:r>
      <w:hyperlink w:anchor="P50" w:tooltip="13. В случае невыполнения муниципальным образованием обязательств по достижению целевых показателей результативности, установленных в пункте 5 настоящих Правил, субсидия подлежит возврату в соответствии с пунктом 12 Правил N 445-ПП на лицевые счета Министерств">
        <w:r>
          <w:rPr>
            <w:color w:val="0000FF"/>
          </w:rPr>
          <w:t>абзацем первым</w:t>
        </w:r>
      </w:hyperlink>
      <w:r>
        <w:t xml:space="preserve"> настоящего пункта, Министерство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</w:t>
      </w:r>
      <w:r>
        <w:t>ем в году, следующем за годом предоставления субсидии, направляет главе администрации муниципального образования требование по возврату из местного бюджета в областной бюджет объема</w:t>
      </w:r>
      <w:proofErr w:type="gramEnd"/>
      <w:r>
        <w:t xml:space="preserve"> средств, рассчитанного в соответствии с пунктом 12 Правил N 445-ПП, с указ</w:t>
      </w:r>
      <w:r>
        <w:t>анием сумм, подлежащих возврату, средств и сроков их возврата в соответствии с Правилами N 445-ПП.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 xml:space="preserve">В случае если муниципальным образованием по состоянию на 31 декабря года предоставления субсидии не соблюден установленный уровень </w:t>
      </w:r>
      <w:proofErr w:type="spellStart"/>
      <w:r>
        <w:t>софинансирования</w:t>
      </w:r>
      <w:proofErr w:type="spellEnd"/>
      <w:r>
        <w:t>, объем ср</w:t>
      </w:r>
      <w:r>
        <w:t>едств, подлежащий возврату из местного бюджета в областной бюджет в срок до 1 июня года, следующего за годом предоставления субсидии, определяется в соответствии с пунктом 16 Правил N 445-ПП.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 xml:space="preserve">В случае невозврата (отказа в возврате) или возврата в неполном </w:t>
      </w:r>
      <w:r>
        <w:t>объеме средств субсидии их взыскание осуществляется в порядке, установленном бюджетным законодательством Российской Федерации.</w:t>
      </w:r>
    </w:p>
    <w:p w:rsidR="000645A7" w:rsidRDefault="00B87F1F">
      <w:pPr>
        <w:pStyle w:val="ConsPlusNormal"/>
        <w:spacing w:before="240"/>
        <w:ind w:firstLine="540"/>
        <w:jc w:val="both"/>
      </w:pPr>
      <w:r>
        <w:t xml:space="preserve">14. </w:t>
      </w:r>
      <w:proofErr w:type="gramStart"/>
      <w:r>
        <w:t>Контроль за</w:t>
      </w:r>
      <w:proofErr w:type="gramEnd"/>
      <w:r>
        <w:t xml:space="preserve"> соблюдением получателями субсидий условий, целей и порядка, установленных при предоставлении субсидий, осуществля</w:t>
      </w:r>
      <w:r>
        <w:t>ется Министерством и органами государственного финансового контроля Мурманской области.</w:t>
      </w:r>
    </w:p>
    <w:p w:rsidR="000645A7" w:rsidRDefault="00B87F1F">
      <w:pPr>
        <w:pStyle w:val="ConsPlusNormal"/>
      </w:pPr>
      <w:r>
        <w:rPr>
          <w:i/>
        </w:rPr>
        <w:br/>
        <w:t>Постановление Правительства Мурманской области от 11.11.2020 N 785-ПП (ред. от 01.09.2025) "Об утверждении государственной программы Мурманской области "Информационное</w:t>
      </w:r>
      <w:r>
        <w:rPr>
          <w:i/>
        </w:rPr>
        <w:t xml:space="preserve"> общество"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0645A7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5A7"/>
    <w:rsid w:val="000645A7"/>
    <w:rsid w:val="00B8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1758</Words>
  <Characters>10025</Characters>
  <Application>Microsoft Office Word</Application>
  <DocSecurity>0</DocSecurity>
  <Lines>83</Lines>
  <Paragraphs>23</Paragraphs>
  <ScaleCrop>false</ScaleCrop>
  <Company>КонсультантПлюс Версия 4024.00.50</Company>
  <LinksUpToDate>false</LinksUpToDate>
  <CharactersWithSpaces>11760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785-ПП
(ред. от 01.09.2025)
"Об утверждении государственной программы Мурманской области "Информационное общество"</dc:title>
  <dc:creator>Сафронова Е.Н.</dc:creator>
  <cp:lastModifiedBy>Сафронова Е.Н.</cp:lastModifiedBy>
  <cp:revision>2</cp:revision>
  <dcterms:created xsi:type="dcterms:W3CDTF">2025-09-26T13:25:00Z</dcterms:created>
  <dcterms:modified xsi:type="dcterms:W3CDTF">2025-09-26T13:25:00Z</dcterms:modified>
</cp:coreProperties>
</file>